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DD" w:rsidRPr="007A39DD" w:rsidRDefault="007810AF" w:rsidP="007A3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9.1</w:t>
      </w:r>
      <w:r w:rsidR="00AD1E69">
        <w:rPr>
          <w:b/>
          <w:bCs/>
          <w:sz w:val="28"/>
          <w:szCs w:val="28"/>
        </w:rPr>
        <w:t>—SCHOOL CLOSINGS AND CANCELLATIONS</w:t>
      </w:r>
    </w:p>
    <w:p w:rsidR="007A39DD" w:rsidRDefault="007A39DD" w:rsidP="007A39DD">
      <w:pPr>
        <w:pStyle w:val="ListParagraph"/>
        <w:ind w:left="648"/>
        <w:rPr>
          <w:b/>
          <w:bCs/>
        </w:rPr>
      </w:pPr>
    </w:p>
    <w:p w:rsidR="00AD1E69" w:rsidRDefault="00AD1E69" w:rsidP="007A39DD">
      <w:pPr>
        <w:ind w:right="-1"/>
        <w:rPr>
          <w:rFonts w:asciiTheme="minorHAnsi" w:eastAsia="Times New Roman" w:hAnsiTheme="minorHAnsi" w:cstheme="minorHAnsi"/>
        </w:rPr>
      </w:pPr>
      <w:r w:rsidRPr="00ED06F7">
        <w:rPr>
          <w:rFonts w:asciiTheme="minorHAnsi" w:eastAsia="Times New Roman" w:hAnsiTheme="minorHAnsi" w:cstheme="minorHAnsi"/>
        </w:rPr>
        <w:t>Should it become necessary to close any or all of the schools by reason of w</w:t>
      </w:r>
      <w:r w:rsidR="00BA2E11">
        <w:rPr>
          <w:rFonts w:asciiTheme="minorHAnsi" w:eastAsia="Times New Roman" w:hAnsiTheme="minorHAnsi" w:cstheme="minorHAnsi"/>
        </w:rPr>
        <w:t>eather or other emergency, the S</w:t>
      </w:r>
      <w:r w:rsidRPr="00ED06F7">
        <w:rPr>
          <w:rFonts w:asciiTheme="minorHAnsi" w:eastAsia="Times New Roman" w:hAnsiTheme="minorHAnsi" w:cstheme="minorHAnsi"/>
        </w:rPr>
        <w:t>u</w:t>
      </w:r>
      <w:r w:rsidR="00BA2E11">
        <w:rPr>
          <w:rFonts w:asciiTheme="minorHAnsi" w:eastAsia="Times New Roman" w:hAnsiTheme="minorHAnsi" w:cstheme="minorHAnsi"/>
        </w:rPr>
        <w:t>perintendent, or S</w:t>
      </w:r>
      <w:r w:rsidRPr="00ED06F7">
        <w:rPr>
          <w:rFonts w:asciiTheme="minorHAnsi" w:eastAsia="Times New Roman" w:hAnsiTheme="minorHAnsi" w:cstheme="minorHAnsi"/>
        </w:rPr>
        <w:t>uperintendent’s designee, may order the closing of any or all schools so affected.  Notification will be given</w:t>
      </w:r>
      <w:r w:rsidR="00ED06F7" w:rsidRPr="00ED06F7">
        <w:rPr>
          <w:rFonts w:asciiTheme="minorHAnsi" w:eastAsia="Times New Roman" w:hAnsiTheme="minorHAnsi" w:cstheme="minorHAnsi"/>
        </w:rPr>
        <w:t xml:space="preserve"> to LRSD employees and the public of such closing</w:t>
      </w:r>
      <w:r w:rsidR="003B76FB">
        <w:rPr>
          <w:rFonts w:asciiTheme="minorHAnsi" w:eastAsia="Times New Roman" w:hAnsiTheme="minorHAnsi" w:cstheme="minorHAnsi"/>
        </w:rPr>
        <w:t xml:space="preserve"> under a plan developed by the Superintendent or S</w:t>
      </w:r>
      <w:r w:rsidR="00ED06F7" w:rsidRPr="00ED06F7">
        <w:rPr>
          <w:rFonts w:asciiTheme="minorHAnsi" w:eastAsia="Times New Roman" w:hAnsiTheme="minorHAnsi" w:cstheme="minorHAnsi"/>
        </w:rPr>
        <w:t>uperintendent’s designee.</w:t>
      </w:r>
      <w:r w:rsidR="007810AF">
        <w:rPr>
          <w:rFonts w:asciiTheme="minorHAnsi" w:eastAsia="Times New Roman" w:hAnsiTheme="minorHAnsi" w:cstheme="minorHAnsi"/>
        </w:rPr>
        <w:t xml:space="preserve">  Please </w:t>
      </w:r>
      <w:r w:rsidR="007810AF" w:rsidRPr="003B76FB">
        <w:rPr>
          <w:rFonts w:asciiTheme="minorHAnsi" w:eastAsia="Times New Roman" w:hAnsiTheme="minorHAnsi" w:cstheme="minorHAnsi"/>
        </w:rPr>
        <w:t xml:space="preserve">see LRSD’s </w:t>
      </w:r>
      <w:r w:rsidR="007810AF" w:rsidRPr="003B76FB">
        <w:rPr>
          <w:rFonts w:asciiTheme="minorHAnsi" w:eastAsia="Times New Roman" w:hAnsiTheme="minorHAnsi" w:cstheme="minorHAnsi"/>
          <w:u w:val="single"/>
        </w:rPr>
        <w:t>Pr</w:t>
      </w:r>
      <w:r w:rsidR="007810AF" w:rsidRPr="007810AF">
        <w:rPr>
          <w:rFonts w:asciiTheme="minorHAnsi" w:eastAsia="Times New Roman" w:hAnsiTheme="minorHAnsi" w:cstheme="minorHAnsi"/>
          <w:u w:val="single"/>
        </w:rPr>
        <w:t>ocedures for School Closings and Operations During Emergency Conditions</w:t>
      </w:r>
      <w:r w:rsidR="007810AF">
        <w:rPr>
          <w:rFonts w:asciiTheme="minorHAnsi" w:eastAsia="Times New Roman" w:hAnsiTheme="minorHAnsi" w:cstheme="minorHAnsi"/>
        </w:rPr>
        <w:t xml:space="preserve"> which detail information including but not limited to requisite conditions for </w:t>
      </w:r>
      <w:r w:rsidR="003B76FB">
        <w:rPr>
          <w:rFonts w:asciiTheme="minorHAnsi" w:eastAsia="Times New Roman" w:hAnsiTheme="minorHAnsi" w:cstheme="minorHAnsi"/>
        </w:rPr>
        <w:t>closure,</w:t>
      </w:r>
      <w:r w:rsidR="007810AF">
        <w:rPr>
          <w:rFonts w:asciiTheme="minorHAnsi" w:eastAsia="Times New Roman" w:hAnsiTheme="minorHAnsi" w:cstheme="minorHAnsi"/>
        </w:rPr>
        <w:t xml:space="preserve"> nontraditional school days</w:t>
      </w:r>
      <w:r w:rsidR="003B76FB">
        <w:rPr>
          <w:rFonts w:asciiTheme="minorHAnsi" w:eastAsia="Times New Roman" w:hAnsiTheme="minorHAnsi" w:cstheme="minorHAnsi"/>
        </w:rPr>
        <w:t xml:space="preserve"> and</w:t>
      </w:r>
      <w:bookmarkStart w:id="0" w:name="_GoBack"/>
      <w:bookmarkEnd w:id="0"/>
      <w:r w:rsidR="007810AF">
        <w:rPr>
          <w:rFonts w:asciiTheme="minorHAnsi" w:eastAsia="Times New Roman" w:hAnsiTheme="minorHAnsi" w:cstheme="minorHAnsi"/>
        </w:rPr>
        <w:t xml:space="preserve"> Act 862 </w:t>
      </w:r>
      <w:r w:rsidR="003B76FB">
        <w:rPr>
          <w:rFonts w:asciiTheme="minorHAnsi" w:eastAsia="Times New Roman" w:hAnsiTheme="minorHAnsi" w:cstheme="minorHAnsi"/>
        </w:rPr>
        <w:t>compliance.</w:t>
      </w:r>
    </w:p>
    <w:p w:rsidR="00ED06F7" w:rsidRDefault="00ED06F7" w:rsidP="007A39DD">
      <w:pPr>
        <w:ind w:right="-1"/>
        <w:rPr>
          <w:rFonts w:asciiTheme="minorHAnsi" w:eastAsia="Times New Roman" w:hAnsiTheme="minorHAnsi" w:cstheme="minorHAnsi"/>
        </w:rPr>
      </w:pPr>
    </w:p>
    <w:p w:rsidR="00ED06F7" w:rsidRPr="00ED06F7" w:rsidRDefault="00ED06F7" w:rsidP="007A39DD">
      <w:pPr>
        <w:ind w:right="-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If conditions vary from one area of the s</w:t>
      </w:r>
      <w:r w:rsidR="003B76FB">
        <w:rPr>
          <w:rFonts w:asciiTheme="minorHAnsi" w:eastAsia="Times New Roman" w:hAnsiTheme="minorHAnsi" w:cstheme="minorHAnsi"/>
        </w:rPr>
        <w:t>chool district to another, the S</w:t>
      </w:r>
      <w:r>
        <w:rPr>
          <w:rFonts w:asciiTheme="minorHAnsi" w:eastAsia="Times New Roman" w:hAnsiTheme="minorHAnsi" w:cstheme="minorHAnsi"/>
        </w:rPr>
        <w:t>uperintendent may close schools in</w:t>
      </w:r>
      <w:r w:rsidR="003B76FB">
        <w:rPr>
          <w:rFonts w:asciiTheme="minorHAnsi" w:eastAsia="Times New Roman" w:hAnsiTheme="minorHAnsi" w:cstheme="minorHAnsi"/>
        </w:rPr>
        <w:t xml:space="preserve"> that area only.  Further, the S</w:t>
      </w:r>
      <w:r>
        <w:rPr>
          <w:rFonts w:asciiTheme="minorHAnsi" w:eastAsia="Times New Roman" w:hAnsiTheme="minorHAnsi" w:cstheme="minorHAnsi"/>
        </w:rPr>
        <w:t>uperintendent will have the authority to delay the opening of any or all schools or dismiss them early because of weather conditions or other emergencies.</w:t>
      </w:r>
    </w:p>
    <w:p w:rsidR="00ED06F7" w:rsidRPr="00ED06F7" w:rsidRDefault="00ED06F7" w:rsidP="007A39DD">
      <w:pPr>
        <w:ind w:right="-1"/>
        <w:rPr>
          <w:rFonts w:asciiTheme="minorHAnsi" w:eastAsia="Times New Roman" w:hAnsiTheme="minorHAnsi" w:cstheme="minorHAnsi"/>
        </w:rPr>
      </w:pPr>
    </w:p>
    <w:p w:rsidR="00ED06F7" w:rsidRPr="00ED06F7" w:rsidRDefault="00ED06F7" w:rsidP="00ED06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D06F7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Little Rock School </w:t>
      </w:r>
      <w:r w:rsidRPr="00ED06F7">
        <w:rPr>
          <w:rFonts w:asciiTheme="minorHAnsi" w:hAnsiTheme="minorHAnsi" w:cstheme="minorHAnsi"/>
          <w:sz w:val="22"/>
          <w:szCs w:val="22"/>
        </w:rPr>
        <w:t xml:space="preserve">District does not advise employees to take unwarranted risks when traveling to work in the event of inclement weather or other emergencies. </w:t>
      </w:r>
      <w:r w:rsidRPr="00ED06F7">
        <w:rPr>
          <w:rFonts w:asciiTheme="minorHAnsi" w:hAnsiTheme="minorHAnsi" w:cstheme="minorHAnsi"/>
          <w:bCs/>
          <w:sz w:val="22"/>
          <w:szCs w:val="22"/>
        </w:rPr>
        <w:t xml:space="preserve">Each person should exercise his/her best judgment with regard to road conditions and other safety concerns. </w:t>
      </w:r>
    </w:p>
    <w:p w:rsidR="00ED06F7" w:rsidRDefault="00ED06F7" w:rsidP="007A39DD">
      <w:pPr>
        <w:ind w:right="-1"/>
        <w:rPr>
          <w:rFonts w:eastAsia="Times New Roman"/>
        </w:rPr>
      </w:pPr>
    </w:p>
    <w:p w:rsidR="00AD1E69" w:rsidRPr="00AD1E69" w:rsidRDefault="00AD1E69" w:rsidP="008E56A0">
      <w:pPr>
        <w:ind w:right="-3"/>
        <w:rPr>
          <w:rFonts w:ascii="Times New Roman" w:eastAsia="Times" w:hAnsi="Times New Roman" w:cs="Times New Roman"/>
          <w:spacing w:val="-8"/>
          <w:sz w:val="24"/>
          <w:szCs w:val="24"/>
        </w:rPr>
      </w:pPr>
      <w:r w:rsidRPr="00AD1E69">
        <w:rPr>
          <w:rFonts w:ascii="Times New Roman" w:eastAsia="Times" w:hAnsi="Times New Roman" w:cs="Times New Roman"/>
          <w:spacing w:val="-8"/>
          <w:sz w:val="24"/>
          <w:szCs w:val="24"/>
        </w:rPr>
        <w:t>Legal Reference:</w:t>
      </w:r>
      <w:r w:rsidRPr="00AD1E69">
        <w:rPr>
          <w:rFonts w:ascii="Times New Roman" w:eastAsia="Times" w:hAnsi="Times New Roman" w:cs="Times New Roman"/>
          <w:spacing w:val="-8"/>
          <w:sz w:val="24"/>
          <w:szCs w:val="24"/>
        </w:rPr>
        <w:tab/>
      </w:r>
      <w:r w:rsidR="008E56A0">
        <w:rPr>
          <w:rFonts w:ascii="Times New Roman" w:eastAsia="Times" w:hAnsi="Times New Roman" w:cs="Times New Roman"/>
          <w:spacing w:val="-8"/>
          <w:sz w:val="24"/>
          <w:szCs w:val="24"/>
        </w:rPr>
        <w:t>A.C.A. § 6-10-127 (Act 862)</w:t>
      </w:r>
    </w:p>
    <w:p w:rsidR="00AD1E69" w:rsidRDefault="00AD1E69" w:rsidP="00AD1E69">
      <w:pPr>
        <w:ind w:right="-3"/>
        <w:rPr>
          <w:rFonts w:ascii="Times New Roman" w:eastAsia="Times" w:hAnsi="Times New Roman" w:cs="Times New Roman"/>
          <w:spacing w:val="-8"/>
          <w:sz w:val="24"/>
          <w:szCs w:val="24"/>
        </w:rPr>
      </w:pPr>
    </w:p>
    <w:p w:rsidR="008E56A0" w:rsidRPr="00AD1E69" w:rsidRDefault="008E56A0" w:rsidP="00AD1E69">
      <w:pPr>
        <w:ind w:right="-3"/>
        <w:rPr>
          <w:rFonts w:ascii="Times New Roman" w:eastAsia="Times" w:hAnsi="Times New Roman" w:cs="Times New Roman"/>
          <w:spacing w:val="-8"/>
          <w:sz w:val="24"/>
          <w:szCs w:val="24"/>
        </w:rPr>
      </w:pPr>
      <w:r>
        <w:rPr>
          <w:rFonts w:ascii="Times New Roman" w:eastAsia="Times" w:hAnsi="Times New Roman" w:cs="Times New Roman"/>
          <w:spacing w:val="-8"/>
          <w:sz w:val="24"/>
          <w:szCs w:val="24"/>
        </w:rPr>
        <w:t>Cross Reference:</w:t>
      </w:r>
      <w:r>
        <w:rPr>
          <w:rFonts w:ascii="Times New Roman" w:eastAsia="Times" w:hAnsi="Times New Roman" w:cs="Times New Roman"/>
          <w:spacing w:val="-8"/>
          <w:sz w:val="24"/>
          <w:szCs w:val="24"/>
        </w:rPr>
        <w:tab/>
        <w:t>Emergency Procedures Handbook</w:t>
      </w:r>
    </w:p>
    <w:p w:rsidR="00AD1E69" w:rsidRPr="00AD1E69" w:rsidRDefault="00AD1E69" w:rsidP="00AD1E69">
      <w:pPr>
        <w:ind w:right="-3"/>
        <w:rPr>
          <w:rFonts w:ascii="Times New Roman" w:eastAsia="Times" w:hAnsi="Times New Roman" w:cs="Times New Roman"/>
          <w:spacing w:val="-8"/>
          <w:sz w:val="24"/>
          <w:szCs w:val="24"/>
        </w:rPr>
      </w:pPr>
    </w:p>
    <w:p w:rsidR="00AD1E69" w:rsidRPr="00AD1E69" w:rsidRDefault="00AD1E69" w:rsidP="00AD1E69">
      <w:pPr>
        <w:ind w:right="-3"/>
        <w:rPr>
          <w:rFonts w:ascii="Times New Roman" w:eastAsia="Times" w:hAnsi="Times New Roman" w:cs="Times New Roman"/>
          <w:spacing w:val="-8"/>
          <w:sz w:val="24"/>
          <w:szCs w:val="24"/>
        </w:rPr>
      </w:pPr>
      <w:r w:rsidRPr="00AD1E69">
        <w:rPr>
          <w:rFonts w:ascii="Times New Roman" w:eastAsia="Times" w:hAnsi="Times New Roman" w:cs="Times New Roman"/>
          <w:spacing w:val="-8"/>
          <w:sz w:val="24"/>
          <w:szCs w:val="24"/>
        </w:rPr>
        <w:t xml:space="preserve">Date Adopted: </w:t>
      </w:r>
    </w:p>
    <w:p w:rsidR="007A39DD" w:rsidRDefault="00AD1E69" w:rsidP="008E56A0">
      <w:pPr>
        <w:ind w:right="-3"/>
      </w:pPr>
      <w:r w:rsidRPr="00AD1E69">
        <w:rPr>
          <w:rFonts w:ascii="Times New Roman" w:eastAsia="Times" w:hAnsi="Times New Roman" w:cs="Times New Roman"/>
          <w:spacing w:val="-8"/>
          <w:sz w:val="24"/>
          <w:szCs w:val="24"/>
        </w:rPr>
        <w:t>Last Revised:</w:t>
      </w:r>
    </w:p>
    <w:sectPr w:rsidR="007A3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441"/>
    <w:multiLevelType w:val="multilevel"/>
    <w:tmpl w:val="5BFA1470"/>
    <w:lvl w:ilvl="0">
      <w:start w:val="6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470344"/>
    <w:multiLevelType w:val="hybridMultilevel"/>
    <w:tmpl w:val="FA00765C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8F510F1"/>
    <w:multiLevelType w:val="multilevel"/>
    <w:tmpl w:val="F23811D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DD"/>
    <w:rsid w:val="001759A2"/>
    <w:rsid w:val="002C70CC"/>
    <w:rsid w:val="003B76FB"/>
    <w:rsid w:val="004E6757"/>
    <w:rsid w:val="00606B94"/>
    <w:rsid w:val="007810AF"/>
    <w:rsid w:val="007A39DD"/>
    <w:rsid w:val="007E03F9"/>
    <w:rsid w:val="008E56A0"/>
    <w:rsid w:val="00AD1E69"/>
    <w:rsid w:val="00BA2E11"/>
    <w:rsid w:val="00DB69FE"/>
    <w:rsid w:val="00E72F44"/>
    <w:rsid w:val="00E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5AAC"/>
  <w15:chartTrackingRefBased/>
  <w15:docId w15:val="{06C18014-37F2-4CD9-B197-E3E3EFE1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39DD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D06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Eric</dc:creator>
  <cp:keywords/>
  <dc:description/>
  <cp:lastModifiedBy>Walker, Eric</cp:lastModifiedBy>
  <cp:revision>10</cp:revision>
  <dcterms:created xsi:type="dcterms:W3CDTF">2017-09-22T14:35:00Z</dcterms:created>
  <dcterms:modified xsi:type="dcterms:W3CDTF">2017-09-22T17:52:00Z</dcterms:modified>
</cp:coreProperties>
</file>